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1588" w14:textId="77777777" w:rsidR="001D71E3" w:rsidRPr="001D71E3" w:rsidRDefault="001D71E3" w:rsidP="001D71E3">
      <w:pPr>
        <w:jc w:val="center"/>
        <w:rPr>
          <w:rFonts w:ascii="华文中宋" w:eastAsia="华文中宋" w:hAnsi="华文中宋"/>
          <w:sz w:val="32"/>
          <w:szCs w:val="32"/>
        </w:rPr>
      </w:pPr>
      <w:r w:rsidRPr="001D71E3">
        <w:rPr>
          <w:rFonts w:ascii="华文中宋" w:eastAsia="华文中宋" w:hAnsi="华文中宋" w:hint="eastAsia"/>
          <w:sz w:val="32"/>
          <w:szCs w:val="32"/>
        </w:rPr>
        <w:t>大连理工大学本科</w:t>
      </w:r>
      <w:bookmarkStart w:id="0" w:name="_GoBack"/>
      <w:bookmarkEnd w:id="0"/>
      <w:r w:rsidRPr="001D71E3">
        <w:rPr>
          <w:rFonts w:ascii="华文中宋" w:eastAsia="华文中宋" w:hAnsi="华文中宋" w:hint="eastAsia"/>
          <w:sz w:val="32"/>
          <w:szCs w:val="32"/>
        </w:rPr>
        <w:t>生学分制收费管理暂行办法</w:t>
      </w:r>
    </w:p>
    <w:p w14:paraId="4561E610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57C3BD9E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为适应我校教学管理改革，进一步完善学生收费管理办法，规范收费行为，根据《关于明确高等学校学费标准管理有关政策问题的通知》（辽价发[2004]105号）、《关于对辽宁师范大学等普通高等学校试行学分制收费的批复》（辽价函[2008]204号）、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国家发改委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《关于加强高等学校学分制收费管理的通知》（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发改价格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[2006]702号）和《关于调整我省公办普通高校本科学费政策的通知》（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辽发改收费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[2021]78号）以及学校相关文件规定，特制定本学分制收费管理暂行办法。 </w:t>
      </w:r>
    </w:p>
    <w:p w14:paraId="0B4E2D05" w14:textId="77777777" w:rsidR="001D71E3" w:rsidRPr="001D71E3" w:rsidRDefault="001D71E3" w:rsidP="001D71E3">
      <w:pPr>
        <w:widowControl/>
        <w:spacing w:beforeLines="100" w:before="312" w:afterLines="100" w:after="312" w:line="380" w:lineRule="exact"/>
        <w:jc w:val="center"/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</w:pPr>
      <w:r w:rsidRPr="001D71E3"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  <w:t>第一章</w:t>
      </w:r>
      <w:r w:rsidRPr="001D71E3">
        <w:rPr>
          <w:rFonts w:ascii="Times New Roman" w:eastAsia="黑体" w:hAnsi="Times New Roman" w:cs="Times New Roman"/>
          <w:bCs/>
          <w:spacing w:val="13"/>
          <w:kern w:val="0"/>
          <w:sz w:val="28"/>
          <w:szCs w:val="28"/>
        </w:rPr>
        <w:t xml:space="preserve">  </w:t>
      </w:r>
      <w:r w:rsidRPr="001D71E3"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  <w:t>总则</w:t>
      </w:r>
    </w:p>
    <w:p w14:paraId="5121CB64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第一条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学分制收费是指按学生修读的学分数计收学费的教育收费管理制度。实行学分制收费后，学生学费由专业学费和课程学分学费两部分组成。学生正常完成所在专业规定最低的学分所交纳的学分学费（不含重修、复修课程及修读教学计划以外课程的学分学费）、专业学费总额不高于实行学年制的学年学费总额（见附件）。 </w:t>
      </w:r>
    </w:p>
    <w:p w14:paraId="1884AC79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第二条 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收费方式采用预收结算制，即在每学年开学初，按学生所学专业学年学费标准预收学费，学年结束时按专业学费和学分学费结算。</w:t>
      </w:r>
    </w:p>
    <w:p w14:paraId="34D95C13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第三条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本管理办法适用于在籍的全日制本科生、预科生。</w:t>
      </w:r>
    </w:p>
    <w:p w14:paraId="11AE0EA3" w14:textId="77777777" w:rsidR="001D71E3" w:rsidRPr="001D71E3" w:rsidRDefault="001D71E3" w:rsidP="001D71E3">
      <w:pPr>
        <w:widowControl/>
        <w:spacing w:beforeLines="100" w:before="312" w:afterLines="100" w:after="312" w:line="380" w:lineRule="exact"/>
        <w:jc w:val="center"/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</w:pPr>
      <w:r w:rsidRPr="001D71E3"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  <w:t>第二章</w:t>
      </w:r>
      <w:r w:rsidRPr="001D71E3">
        <w:rPr>
          <w:rFonts w:ascii="Times New Roman" w:eastAsia="黑体" w:hAnsi="Times New Roman" w:cs="Times New Roman"/>
          <w:bCs/>
          <w:spacing w:val="13"/>
          <w:kern w:val="0"/>
          <w:sz w:val="28"/>
          <w:szCs w:val="28"/>
        </w:rPr>
        <w:t xml:space="preserve"> </w:t>
      </w:r>
      <w:r w:rsidRPr="001D71E3"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  <w:t>交费标准及办法</w:t>
      </w:r>
    </w:p>
    <w:p w14:paraId="5D742C80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第四条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学分制收费按照专业学费和课程学分学费两部分计收。专业学费按学年计收，学分学费按学生所选课程的学分计收。各专业学分学费及专业学费收费标准见附件。</w:t>
      </w:r>
    </w:p>
    <w:p w14:paraId="4CDC078F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第五条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提前毕业的学生，按学期免收相应时间的专业学费（专业学费按平均专业学费计算）；延期修读的学生，按学期收取相应时间的专业学费（专业学费按平均专业学费计算）。</w:t>
      </w:r>
    </w:p>
    <w:p w14:paraId="301AE9B8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第六条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经批准本科结业的学生，可以在结业后一年内申请所欠课程的考核机会，并按照正常标准交纳学分学费，但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不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交纳专业学费。</w:t>
      </w:r>
    </w:p>
    <w:p w14:paraId="1384F97C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第七条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未通过的必修课程，将在下学期初有一次免费补考机会，补考后仍不及格需要重修。重修、复修、辅修及双学位课程均按选课学分交纳学分学费。</w:t>
      </w:r>
    </w:p>
    <w:p w14:paraId="6F63C204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第八条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申请必修课程的缓考，可参加该课程下学期初的补考；申请选修课程的缓考，教务处将删除该门课程，下学期或学年重新选修。</w:t>
      </w:r>
    </w:p>
    <w:p w14:paraId="61170797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第九条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凡代表学校参加重大比赛（体育比赛、科技竞赛等）的学生，经批准可以申请免试某门课程（每学期不超过两门），该门课程仍按照正常标准收取学分学费。</w:t>
      </w:r>
    </w:p>
    <w:p w14:paraId="4B8B1AAD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lastRenderedPageBreak/>
        <w:t>第十条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学生在每学期第一个月内申请休（退）学并获批准的，免收当学期的专业学费；超过一个月申请批准的，全额收取当学期专业学费。申请休（退）学时，正常交纳已考核课程的学分学费。整个学期休学的，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不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交纳专业学费和学分学费。</w:t>
      </w:r>
    </w:p>
    <w:p w14:paraId="328B2B20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第十一条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按学校有关规定开除学籍的学生，不退还当年的专业学费和当学期的学分学费。</w:t>
      </w:r>
    </w:p>
    <w:p w14:paraId="20024105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第十二条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转大类（专业）的学生，如转入、转出大类（专业）的专业学费不一致，则按照所在大类（专业）相应的学期收取专业学费。如因转大类（专业）导致选修课程学分总数超过转入大类（专业）毕业规定最低学分数，该超出部分课程学分视为选修其他课程学分计收学分学费。</w:t>
      </w:r>
    </w:p>
    <w:p w14:paraId="118520DB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第十三条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按学科大类招生的专业，在专业未分流时，专业学费按照本大类专业的最高专业学费收交。专业分流后，再按照相应专业计收专业学费，并退还大类时多收专业学费。</w:t>
      </w:r>
    </w:p>
    <w:p w14:paraId="3B4A2256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第十四条 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从其他高校转入我校学习的学生，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按随读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年级和专业标准收取当年的专业学费，学分学费按实际选修课程学分收取。我校学生转入其他高校学习的，专业学费和学分学费的收取比照第二章第十条。</w:t>
      </w:r>
    </w:p>
    <w:p w14:paraId="26142099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第十五条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国内各高校根据《本科生合作培养协议书》，派往我校的来访交流学生，免收专业学费和学分学费；我校派出的出访交流学生，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若学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习时间满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学年，学费按所在专业的学年学费收取。若不满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学年，则按学期收取相应的学年学费。国内交流出访学生四年（五年）的学费总额，不得少于本专业全程的学年学费总额。</w:t>
      </w:r>
    </w:p>
    <w:p w14:paraId="6D3361E0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第十六条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根据我校与国外大学签订的联合培养本科生协议，派往我校的来访短期海外交流学生，免收专业学费和学分学费；我校派出的短期海外交流学生（指学生到国外或境外高校或机构学习或实习不超过一年），若满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学年，学费按所在专业的学年学费收取。若不满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一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学年，则按学期收取相应的学年学费。短期海外交流出访学生四年（五年）的学费总额，不得少于本专业全程的学年学费总额。</w:t>
      </w:r>
    </w:p>
    <w:p w14:paraId="673EB579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第十七条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经申请批准后，到国外指定高校参加“2+2”、“3+2”等模式联合培养的学生，在取得国外大学毕业证、学位证后，如需获得我校的毕业证和学位证，需补交相应年限的专业学费。如未取得国外大学毕业证，但满足我校的毕业条件，如需获得我校的毕业证和学位证，需补交相应年限的学年学费。</w:t>
      </w:r>
    </w:p>
    <w:p w14:paraId="6BC4E0C2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第十八条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新生的大学英语“以考代修”取得的课程学分，免收取学分学费。</w:t>
      </w:r>
    </w:p>
    <w:p w14:paraId="7AEF71B4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第十九条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预科生预科期间的学费按照学年学费收取。若在预科期间选学本科课程，则按选课学分收取学分学费。</w:t>
      </w:r>
    </w:p>
    <w:p w14:paraId="4EE9F0B7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第二十条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参加创新实践强化班的学生，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不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另外收取专业学费和学分学费。在创新实践强化班取得合格成绩的课程，如申请作为</w:t>
      </w:r>
      <w:r w:rsidRPr="001D71E3">
        <w:rPr>
          <w:rFonts w:ascii="Times New Roman" w:eastAsia="宋体" w:hAnsi="Times New Roman" w:cs="Times New Roman" w:hint="eastAsia"/>
          <w:szCs w:val="24"/>
        </w:rPr>
        <w:t>交叉与个性发展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课程，则按学分收取学分学费。</w:t>
      </w:r>
    </w:p>
    <w:p w14:paraId="7FC46CBA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lastRenderedPageBreak/>
        <w:t>第二十一条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选择研究生课程（非本科培养方案中本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研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衔接课程）的学生，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不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另外收取专业学费和学分学费。在研究生院取得合格成绩的课程，如申请作为本科阶段的课程，则按学分收取学分学费。</w:t>
      </w:r>
    </w:p>
    <w:p w14:paraId="2D8C0A04" w14:textId="77777777" w:rsidR="001D71E3" w:rsidRPr="001D71E3" w:rsidRDefault="001D71E3" w:rsidP="001D71E3">
      <w:pPr>
        <w:widowControl/>
        <w:spacing w:beforeLines="100" w:before="312" w:afterLines="100" w:after="312" w:line="380" w:lineRule="exact"/>
        <w:jc w:val="center"/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</w:pPr>
      <w:r w:rsidRPr="001D71E3"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  <w:t>第三章</w:t>
      </w:r>
      <w:r w:rsidRPr="001D71E3">
        <w:rPr>
          <w:rFonts w:ascii="Times New Roman" w:eastAsia="黑体" w:hAnsi="Times New Roman" w:cs="Times New Roman"/>
          <w:bCs/>
          <w:spacing w:val="13"/>
          <w:kern w:val="0"/>
          <w:sz w:val="28"/>
          <w:szCs w:val="28"/>
        </w:rPr>
        <w:t xml:space="preserve">  </w:t>
      </w:r>
      <w:r w:rsidRPr="001D71E3"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  <w:t>学费结算与决算</w:t>
      </w:r>
    </w:p>
    <w:p w14:paraId="70690B66" w14:textId="588921C6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D71E3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C6C118F" wp14:editId="70668E99">
            <wp:simplePos x="0" y="0"/>
            <wp:positionH relativeFrom="page">
              <wp:posOffset>3411220</wp:posOffset>
            </wp:positionH>
            <wp:positionV relativeFrom="page">
              <wp:posOffset>2440305</wp:posOffset>
            </wp:positionV>
            <wp:extent cx="485775" cy="428625"/>
            <wp:effectExtent l="0" t="0" r="0" b="9525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第二十二条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学年学费结算 </w:t>
      </w:r>
    </w:p>
    <w:p w14:paraId="08E740FE" w14:textId="10D1B7E9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1.每学年应交纳学费额=专业学费+</w:t>
      </w:r>
    </w:p>
    <w:p w14:paraId="2AB50A58" w14:textId="1AB55E02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/>
          <w:color w:val="000000"/>
          <w:kern w:val="0"/>
          <w:szCs w:val="21"/>
        </w:rPr>
        <w:object w:dxaOrig="240" w:dyaOrig="360" w14:anchorId="3D06B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2pt;height:18pt;mso-position-horizontal-relative:page;mso-position-vertical-relative:page" o:ole="">
            <v:imagedata r:id="rId5" o:title=""/>
          </v:shape>
          <o:OLEObject Type="Embed" ProgID="Equation.3" ShapeID="_x0000_i1061" DrawAspect="Content" ObjectID="_1693314611" r:id="rId6"/>
        </w:objec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- 课程学分数；</w:t>
      </w:r>
    </w:p>
    <w:p w14:paraId="7E5AA30A" w14:textId="62B906D0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/>
          <w:color w:val="000000"/>
          <w:kern w:val="0"/>
          <w:szCs w:val="21"/>
        </w:rPr>
        <w:object w:dxaOrig="252" w:dyaOrig="360" w14:anchorId="4575817F">
          <v:shape id="_x0000_i1062" type="#_x0000_t75" style="width:12.55pt;height:18pt;mso-position-horizontal-relative:page;mso-position-vertical-relative:page" o:ole="">
            <v:imagedata r:id="rId7" o:title=""/>
          </v:shape>
          <o:OLEObject Type="Embed" ProgID="Equation.3" ShapeID="_x0000_i1062" DrawAspect="Content" ObjectID="_1693314612" r:id="rId8"/>
        </w:objec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- 课程学分学费；</w:t>
      </w:r>
    </w:p>
    <w:p w14:paraId="762DA500" w14:textId="4FBB2704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/>
          <w:color w:val="000000"/>
          <w:kern w:val="0"/>
          <w:szCs w:val="21"/>
        </w:rPr>
        <w:object w:dxaOrig="192" w:dyaOrig="228" w14:anchorId="47F5CD70">
          <v:shape id="_x0000_i1063" type="#_x0000_t75" style="width:9.8pt;height:11.45pt;mso-position-horizontal-relative:page;mso-position-vertical-relative:page" o:ole="">
            <v:imagedata r:id="rId9" o:title=""/>
          </v:shape>
          <o:OLEObject Type="Embed" ProgID="Equation.3" ShapeID="_x0000_i1063" DrawAspect="Content" ObjectID="_1693314613" r:id="rId10"/>
        </w:objec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- 本学年修读课程数。</w:t>
      </w:r>
    </w:p>
    <w:p w14:paraId="501FE045" w14:textId="082DFF2B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2.每学年学费结余额=上学年学费结余额+本学年预交学费额（按学年学费标准收取）-本学年应交纳学费额 </w:t>
      </w:r>
    </w:p>
    <w:p w14:paraId="71EB86DD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每学年结算后，凡属学费不足的学生，应于下学年交费时补足上学年不足金额；凡属学费结余的学生，结余学费转入下学年学费结算。</w:t>
      </w:r>
    </w:p>
    <w:p w14:paraId="73A1B748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3.在每学年最后一个学期结束前，确定学生所修课程后，列出每个学生当学年学分学费明细，即作为本学年学分学费的收取依据，并办理收费结算。在学年中，如发生退学、休学等情况一律按前款相关规定办理收费结算。</w:t>
      </w:r>
    </w:p>
    <w:p w14:paraId="1E012DAF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第二十三条 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毕业决算 </w:t>
      </w:r>
    </w:p>
    <w:p w14:paraId="2E425509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1.学校于学生毕业（结业、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肄业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）一个月前对所收学费按学生个人进行决算。 </w:t>
      </w:r>
    </w:p>
    <w:p w14:paraId="41C51888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2.学费决算</w:t>
      </w:r>
    </w:p>
    <w:p w14:paraId="414AE037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毕业（结业、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肄业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）学费结余额=累积已交学费–该生应交专业学费总额 - 该生按规定毕业应修最低学分数的应交总学分学费额 - 学生加（重、辅、复）修额外课程应交纳学分学费总额。</w:t>
      </w:r>
    </w:p>
    <w:p w14:paraId="70886A68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最后按照多退少补的原则进行最终的学费结算。学费未交清的学生，在毕业（结业、</w:t>
      </w:r>
      <w:proofErr w:type="gramStart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肄业</w:t>
      </w:r>
      <w:proofErr w:type="gramEnd"/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）前，必须交清所欠学费方能正常办理离校手续。</w:t>
      </w:r>
    </w:p>
    <w:p w14:paraId="3C66FC1C" w14:textId="77777777" w:rsidR="001D71E3" w:rsidRPr="001D71E3" w:rsidRDefault="001D71E3" w:rsidP="001D71E3">
      <w:pPr>
        <w:widowControl/>
        <w:spacing w:beforeLines="100" w:before="312" w:afterLines="100" w:after="312" w:line="380" w:lineRule="exact"/>
        <w:jc w:val="center"/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</w:pPr>
      <w:r w:rsidRPr="001D71E3"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  <w:t>第四章</w:t>
      </w:r>
      <w:r w:rsidRPr="001D71E3">
        <w:rPr>
          <w:rFonts w:ascii="Times New Roman" w:eastAsia="黑体" w:hAnsi="Times New Roman" w:cs="Times New Roman"/>
          <w:bCs/>
          <w:spacing w:val="13"/>
          <w:kern w:val="0"/>
          <w:sz w:val="28"/>
          <w:szCs w:val="28"/>
        </w:rPr>
        <w:t xml:space="preserve">  </w:t>
      </w:r>
      <w:r w:rsidRPr="001D71E3">
        <w:rPr>
          <w:rFonts w:ascii="Times New Roman" w:eastAsia="黑体" w:hAnsi="Times New Roman" w:cs="Times New Roman" w:hint="eastAsia"/>
          <w:bCs/>
          <w:spacing w:val="13"/>
          <w:kern w:val="0"/>
          <w:sz w:val="28"/>
          <w:szCs w:val="28"/>
        </w:rPr>
        <w:t>附则</w:t>
      </w:r>
    </w:p>
    <w:p w14:paraId="55E2A067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第二十四条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本办法从2021级学生开始实施。</w:t>
      </w:r>
    </w:p>
    <w:p w14:paraId="72306E46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第二十五条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学校有关部门可以依据本规定制定相关规定，其他有关规定与本规定相抵触者，以本规定为准。</w:t>
      </w:r>
    </w:p>
    <w:p w14:paraId="470371FC" w14:textId="77777777" w:rsidR="001D71E3" w:rsidRPr="001D71E3" w:rsidRDefault="001D71E3" w:rsidP="001D71E3">
      <w:pPr>
        <w:widowControl/>
        <w:spacing w:line="380" w:lineRule="exact"/>
        <w:ind w:firstLineChars="200" w:firstLine="42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b/>
          <w:color w:val="000000"/>
          <w:kern w:val="0"/>
          <w:szCs w:val="21"/>
        </w:rPr>
        <w:t>第二十六条</w:t>
      </w: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 xml:space="preserve">  本规定由教务处、财务处、学生处负责解释。</w:t>
      </w:r>
    </w:p>
    <w:p w14:paraId="6A38A271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19BCB759" w14:textId="77777777" w:rsidR="001D71E3" w:rsidRPr="001D71E3" w:rsidRDefault="001D71E3" w:rsidP="001D71E3">
      <w:pPr>
        <w:widowControl/>
        <w:spacing w:line="380" w:lineRule="exac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D71E3">
        <w:rPr>
          <w:rFonts w:ascii="宋体" w:eastAsia="宋体" w:hAnsi="宋体" w:cs="宋体" w:hint="eastAsia"/>
          <w:color w:val="000000"/>
          <w:kern w:val="0"/>
          <w:szCs w:val="21"/>
        </w:rPr>
        <w:t>附：大连理工大学本科各专业学分制收费标准</w:t>
      </w:r>
    </w:p>
    <w:p w14:paraId="77D29331" w14:textId="77777777" w:rsidR="001D71E3" w:rsidRPr="001D71E3" w:rsidRDefault="001D71E3" w:rsidP="001D71E3">
      <w:pPr>
        <w:spacing w:line="540" w:lineRule="exact"/>
        <w:rPr>
          <w:rFonts w:ascii="Times New Roman" w:eastAsia="仿宋_GB2312" w:hAnsi="Times New Roman" w:cs="Times New Roman" w:hint="eastAsia"/>
          <w:sz w:val="32"/>
          <w:szCs w:val="24"/>
        </w:rPr>
      </w:pPr>
    </w:p>
    <w:p w14:paraId="725F43EA" w14:textId="33A5F104" w:rsidR="001D71E3" w:rsidRDefault="001D71E3" w:rsidP="001D71E3">
      <w:pPr>
        <w:rPr>
          <w:rFonts w:ascii="Times New Roman" w:eastAsia="宋体" w:hAnsi="Times New Roman" w:cs="Times New Roman"/>
          <w:szCs w:val="24"/>
        </w:rPr>
      </w:pPr>
      <w:r w:rsidRPr="001D71E3">
        <w:rPr>
          <w:rFonts w:ascii="Times New Roman" w:eastAsia="宋体" w:hAnsi="Times New Roman" w:cs="Times New Roman"/>
          <w:szCs w:val="24"/>
        </w:rPr>
        <w:t xml:space="preserve">                                                   </w:t>
      </w:r>
      <w:r w:rsidRPr="001D71E3">
        <w:rPr>
          <w:rFonts w:ascii="Times New Roman" w:eastAsia="宋体" w:hAnsi="Times New Roman" w:cs="Times New Roman" w:hint="eastAsia"/>
          <w:szCs w:val="24"/>
        </w:rPr>
        <w:t>二〇二一年八月修订</w:t>
      </w:r>
    </w:p>
    <w:p w14:paraId="54889E7F" w14:textId="77777777" w:rsidR="001D71E3" w:rsidRDefault="001D71E3" w:rsidP="001D71E3">
      <w:pPr>
        <w:spacing w:afterLines="50" w:after="156"/>
        <w:rPr>
          <w:rFonts w:ascii="华文中宋" w:eastAsia="华文中宋" w:hAnsi="华文中宋"/>
          <w:b/>
          <w:sz w:val="24"/>
        </w:rPr>
      </w:pPr>
      <w:r>
        <w:rPr>
          <w:rFonts w:ascii="Times New Roman" w:eastAsia="宋体" w:hAnsi="Times New Roman" w:cs="Times New Roman"/>
          <w:szCs w:val="24"/>
        </w:rPr>
        <w:br w:type="page"/>
      </w:r>
      <w:r>
        <w:rPr>
          <w:rFonts w:ascii="华文中宋" w:eastAsia="华文中宋" w:hAnsi="华文中宋" w:hint="eastAsia"/>
          <w:b/>
          <w:sz w:val="24"/>
        </w:rPr>
        <w:lastRenderedPageBreak/>
        <w:t>附件：大连理工大学本科各专业学分制收费标准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1668"/>
        <w:gridCol w:w="2976"/>
        <w:gridCol w:w="851"/>
        <w:gridCol w:w="850"/>
        <w:gridCol w:w="1134"/>
        <w:gridCol w:w="1134"/>
      </w:tblGrid>
      <w:tr w:rsidR="001D71E3" w14:paraId="053FDB38" w14:textId="77777777" w:rsidTr="001D71E3">
        <w:trPr>
          <w:trHeight w:val="548"/>
          <w:tblHeader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355D1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学部（学院）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241AF0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E4475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总学分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914CA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学制（年）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36E5D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学年学费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1CE31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每年专业学费</w:t>
            </w:r>
          </w:p>
        </w:tc>
      </w:tr>
      <w:tr w:rsidR="001D71E3" w14:paraId="208D0BD3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B73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1BA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7E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09F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2A5D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12A3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C696299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5117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C0B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化学工程与工艺（国际班）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67C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013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311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1E2D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02EA0173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5C66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A69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100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852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5EE2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F34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713FF24A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3D6A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04E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998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F10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1202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AB7F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1CCDA474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FB64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49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过程装备与控制工程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155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0B8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6BE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F8B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417AE233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C86A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4EE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60F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BF0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1F6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4EB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5376925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88B5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AD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化工与制药类（创新班）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218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2B0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2B15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96C9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6B82F898" w14:textId="77777777" w:rsidTr="001D71E3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23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44BC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应用化学（国家拔尖学生培养基地张大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化学班）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9B3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591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64FA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99FC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16E769B" w14:textId="77777777" w:rsidTr="001D71E3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C99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898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应用化学（强基班）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567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DB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1599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EE2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6C8DA7E7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FEB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7C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385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486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C9FB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7F27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7382A922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3F9C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EC5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511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179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561E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0D5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460E4E60" w14:textId="77777777" w:rsidTr="001D71E3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835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生物工程学院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84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D10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9ED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522E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E97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27C0B08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921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493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8A6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8F8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DFC2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F152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92355DE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07DA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6C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机械设计制造及其自动化（创新班）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468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63C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BFF7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381B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33A0442A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512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A21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机械设计制造及其自动化（日语强化）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F03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54D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C3E7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4FF3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2540</w:t>
            </w:r>
          </w:p>
        </w:tc>
      </w:tr>
      <w:tr w:rsidR="001D71E3" w14:paraId="5EF1568D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CEE9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775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智能制造工程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356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658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F30E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4C1F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61328B6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3FC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A0D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649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0B2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60BF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0E6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09F05D8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96CC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F14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944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2CF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D594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7651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6D9496CC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F00F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38F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功能材料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C9B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8DD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F2DE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1638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4BE713BF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FF00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9C9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金属材料工程（中日精英班）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DF0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8E3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FE3A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DBFE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2640</w:t>
            </w:r>
          </w:p>
        </w:tc>
      </w:tr>
      <w:tr w:rsidR="001D71E3" w14:paraId="76AE3F24" w14:textId="77777777" w:rsidTr="001D71E3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6DA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EB9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能源与动力工程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F6E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60E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4407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F74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12C9DD46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3B7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电子信息与电气工程学部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39F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A1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527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32D1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6E27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9EF5CC0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8033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001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电子信息工程（英语强化）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4AD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2E2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4D81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3250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6D58EE98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ECDE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E68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8A4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FA6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498D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2BE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B3F605A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2779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FF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107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D71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5092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D3D2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886B1E7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211B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E7E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72D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C89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03A3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549A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69B5E44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D3E5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E0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D11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EC5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BEF9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45FC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C06BA07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BAE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8D5C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C6C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A2A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4D38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2CD9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033B4BF0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8F2A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F1F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电子信息类（创新班）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2A9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632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0D06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87F6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8DCC334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E34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建设工程学部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9B6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73A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730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D26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807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3D9504DC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7789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8DD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土木工程（国际班）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97D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2E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B72B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C325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3E6BE5D8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350E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185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0C5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133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B1C9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5766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137811F4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718D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FF2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港口航道与海岸工程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0EE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787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29BC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F36D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08A76281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7F6F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64D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海洋资源开发技术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848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C64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150E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9EBC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0079318A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923B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B11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4FB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03B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EF86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BF2A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6C13204B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288A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12D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DBA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706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A447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06F1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02A8483C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D429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E68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89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F79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05D0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DDB7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E6CD25C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D28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运载工程与力学学部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6FB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AFA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140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4AEC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1FEE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3C415E2D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0996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842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飞行器设计与工程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A82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A28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F8E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39AA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695AA8CF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A5D6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D32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工程力学（钱令希力学创新班）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E21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A0A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978F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56D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4B829381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EF34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8E3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工程力学（强基班）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6BC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B50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66E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561B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7905FFE3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9686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AA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船舶与海洋工程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881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1A3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A9D9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CECD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04A0517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B23B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6A8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车辆工程（英语强化）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C3C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266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6073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EC5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2640</w:t>
            </w:r>
          </w:p>
        </w:tc>
      </w:tr>
      <w:tr w:rsidR="001D71E3" w14:paraId="5E665C0E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347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人文与社会科学学部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D09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72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CA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E65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BDC1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2770794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63CC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535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F0D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9B8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97E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B34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2560</w:t>
            </w:r>
          </w:p>
        </w:tc>
      </w:tr>
      <w:tr w:rsidR="001D71E3" w14:paraId="7579AC08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845E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EE8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805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AA1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2842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3DA4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2560</w:t>
            </w:r>
          </w:p>
        </w:tc>
      </w:tr>
      <w:tr w:rsidR="001D71E3" w14:paraId="3FD9B7A5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B1BB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327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EFC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522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5AB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02A0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2560</w:t>
            </w:r>
          </w:p>
        </w:tc>
      </w:tr>
      <w:tr w:rsidR="001D71E3" w14:paraId="1A4A406C" w14:textId="77777777" w:rsidTr="001D71E3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120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7AC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993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E3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E04D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C12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2560</w:t>
            </w:r>
          </w:p>
        </w:tc>
      </w:tr>
      <w:tr w:rsidR="001D71E3" w14:paraId="6303EFDE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278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698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A4C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263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696D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C35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97044EF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FCE1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066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506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39D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7A0D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20B8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7139DF55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3BF8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8D4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DEF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70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379A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E6EB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0BD6B78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A7F4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210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金融学（英语强化）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8D7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EC9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FFE3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8E3F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2840</w:t>
            </w:r>
          </w:p>
        </w:tc>
      </w:tr>
      <w:tr w:rsidR="001D71E3" w14:paraId="3527BF9C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90C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EBA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4BA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DAF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0663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EC9F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E471D04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8F33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74F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EE9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D09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7ABE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E3E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2560</w:t>
            </w:r>
          </w:p>
        </w:tc>
      </w:tr>
      <w:tr w:rsidR="001D71E3" w14:paraId="6A5D851E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1072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D82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大数据管理与应用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475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079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C33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AE84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2E5CAE7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B8E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建筑与艺术学院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2F3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E92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7D4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BDD8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EB01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79D137C6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DF60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4F7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C5F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8B9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3CC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29F9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71385094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918D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C5E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4C0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F1E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2B49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7C8A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1C106395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F49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C9B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C5F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E6C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D595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97FF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8800</w:t>
            </w:r>
          </w:p>
        </w:tc>
      </w:tr>
      <w:tr w:rsidR="001D71E3" w14:paraId="268B7534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0E0A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775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190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D66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D64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D553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8800</w:t>
            </w:r>
          </w:p>
        </w:tc>
      </w:tr>
      <w:tr w:rsidR="001D71E3" w14:paraId="644A6D92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0B5B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762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雕塑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A22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C8E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54E7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0B05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8800</w:t>
            </w:r>
          </w:p>
        </w:tc>
      </w:tr>
      <w:tr w:rsidR="001D71E3" w14:paraId="78332A94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641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947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DDE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2C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8081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B4C1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4F052160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6540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414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683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5E7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9326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F5DF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0461528E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4CC0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24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08C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E7C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9DB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8938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CCFA5D7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42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BC1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俄语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CBF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A87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A440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1A5B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3F535AB6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F7B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A2F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应用物理学（王大珩物理基础科学班）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7B4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5BE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1E2E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B331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112799AE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C6CA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28F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应用物理学（强基班）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59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EF0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D5AA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A9FF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930029D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5EA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3B7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05B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0E2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A02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38B3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4D5940BC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07C5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D60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信息与计算科学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8CA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DE4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D87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1B13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18511A25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4263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C4D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国家拔尖学生培养基地（华罗庚数学班）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C6D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483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375B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EFF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189706A5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CC7D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C97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数学与应用数学（强基班）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2C4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528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9B72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3209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6ABBD8A3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91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光电工程与仪器科学学院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765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光电信息科学与工程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5FB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ACB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37F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E98E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7BDB2816" w14:textId="77777777" w:rsidTr="001D71E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CA71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3A1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测控技术与仪器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C43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85B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0CB3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0D6B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19132BC3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D7F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0D7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软件工程（第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A08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49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0A2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407F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</w:tr>
      <w:tr w:rsidR="001D71E3" w14:paraId="103D5004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89D2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6B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软件工程（第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76A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F82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4CF7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730F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12800</w:t>
            </w:r>
          </w:p>
        </w:tc>
      </w:tr>
      <w:tr w:rsidR="001D71E3" w14:paraId="60390380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615A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808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网络工程（第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A14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783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891C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D47D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</w:tr>
      <w:tr w:rsidR="001D71E3" w14:paraId="5F72264D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38E5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522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网络工程（第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6FE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A57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0C6A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0DB8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12800</w:t>
            </w:r>
          </w:p>
        </w:tc>
      </w:tr>
      <w:tr w:rsidR="001D71E3" w14:paraId="425F01FA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3F9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微电子学院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27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集成电路设计与集成系统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551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9F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6756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2E95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0EB6CE71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BD52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C30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1EB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226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1A88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49B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7E1C499A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6EF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化工学院盘锦分院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B54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能源化学工程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E7D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F44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356A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13A0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0C54F3CC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D16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4D7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资源循环科学与工程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010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4C7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CEC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A1FD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37E1D850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876B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D11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化学工程与工业生物工程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223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8C8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662B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53B5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AC3ED77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43E2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389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应用化学（工学）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3D6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102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68F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089D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29DB0DF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E69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179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468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B67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64A9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7C49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3591E6A6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1097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1F7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CAF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F1B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FC1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D7C2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0F29EC58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446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海洋科学与技术学院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CB9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环境生态工程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D46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E24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8E75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F43D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4EF92423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94A7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BCB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572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4BA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033A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9A70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92E3E2E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41D5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08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D75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040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39D4C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61FC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3019EB12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549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生命科学与药学学院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CB3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生物信息学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FD2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C5BF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909C7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8E58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365F1FB7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DD84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F1D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7356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86E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1266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A7A3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5428ECE3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8EDC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96E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842A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294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589D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0EE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3400</w:t>
            </w:r>
          </w:p>
        </w:tc>
      </w:tr>
      <w:tr w:rsidR="001D71E3" w14:paraId="02A06A6C" w14:textId="77777777" w:rsidTr="001D71E3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92D0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外国语学院盘锦分院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00F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ED0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DAD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7897B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F49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  <w:tr w:rsidR="001D71E3" w14:paraId="222FB174" w14:textId="77777777" w:rsidTr="001D71E3">
        <w:trPr>
          <w:trHeight w:val="45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B7E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体育与健康学院盘锦分院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DBB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343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5283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44354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7E241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6800</w:t>
            </w:r>
          </w:p>
        </w:tc>
      </w:tr>
      <w:tr w:rsidR="001D71E3" w14:paraId="1BE308D1" w14:textId="77777777" w:rsidTr="001D71E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80D1" w14:textId="77777777" w:rsidR="001D71E3" w:rsidRDefault="001D7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84F5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运动康复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52DD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DA68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6D79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7C72" w14:textId="77777777" w:rsidR="001D71E3" w:rsidRDefault="001D71E3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3040</w:t>
            </w:r>
          </w:p>
        </w:tc>
      </w:tr>
    </w:tbl>
    <w:p w14:paraId="6FD606E0" w14:textId="77777777" w:rsidR="001D71E3" w:rsidRDefault="001D71E3" w:rsidP="001D71E3">
      <w:pPr>
        <w:widowControl/>
        <w:spacing w:line="380" w:lineRule="exact"/>
        <w:jc w:val="left"/>
        <w:rPr>
          <w:rFonts w:ascii="宋体" w:hAnsi="宋体" w:cs="Times New Roman" w:hint="eastAsia"/>
          <w:szCs w:val="21"/>
        </w:rPr>
      </w:pPr>
    </w:p>
    <w:p w14:paraId="001BFD26" w14:textId="00D2AE20" w:rsidR="001D71E3" w:rsidRDefault="001D71E3" w:rsidP="001D71E3">
      <w:pPr>
        <w:widowControl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宋体" w:hAnsi="宋体" w:hint="eastAsia"/>
          <w:szCs w:val="21"/>
        </w:rPr>
        <w:t>备注：各专业所有课程每学分均按</w:t>
      </w:r>
      <w:r>
        <w:rPr>
          <w:rFonts w:ascii="宋体" w:hAnsi="宋体" w:hint="eastAsia"/>
          <w:szCs w:val="21"/>
        </w:rPr>
        <w:t>80</w:t>
      </w:r>
      <w:r>
        <w:rPr>
          <w:rFonts w:ascii="宋体" w:hAnsi="宋体" w:hint="eastAsia"/>
          <w:szCs w:val="21"/>
        </w:rPr>
        <w:t>元标准收取学分学费。</w:t>
      </w:r>
    </w:p>
    <w:p w14:paraId="5D0C159C" w14:textId="77777777" w:rsidR="00A6540B" w:rsidRDefault="00A6540B" w:rsidP="001D71E3"/>
    <w:sectPr w:rsidR="00A6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AA"/>
    <w:rsid w:val="001D71E3"/>
    <w:rsid w:val="00A6540B"/>
    <w:rsid w:val="00B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63246-9BCF-4165-BD01-68CE533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7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D71E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唐瑞</dc:creator>
  <cp:keywords/>
  <dc:description/>
  <cp:lastModifiedBy>唐瑞</cp:lastModifiedBy>
  <cp:revision>2</cp:revision>
  <dcterms:created xsi:type="dcterms:W3CDTF">2021-09-16T08:20:00Z</dcterms:created>
  <dcterms:modified xsi:type="dcterms:W3CDTF">2021-09-16T08:23:00Z</dcterms:modified>
</cp:coreProperties>
</file>