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5" w:type="pct"/>
        <w:jc w:val="center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8165"/>
      </w:tblGrid>
      <w:tr w:rsidR="00EE4474" w:rsidRPr="00EE4474" w:rsidTr="00EE4474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E4474" w:rsidRPr="00EE4474" w:rsidRDefault="00EE4474" w:rsidP="00EE4474">
            <w:pPr>
              <w:widowControl/>
              <w:spacing w:line="502" w:lineRule="atLeast"/>
              <w:jc w:val="center"/>
              <w:rPr>
                <w:rFonts w:ascii="黑体" w:eastAsia="黑体" w:hAnsi="黑体" w:cs="宋体"/>
                <w:color w:val="375DA4"/>
                <w:kern w:val="0"/>
                <w:sz w:val="30"/>
                <w:szCs w:val="30"/>
              </w:rPr>
            </w:pPr>
            <w:r w:rsidRPr="00EE4474">
              <w:rPr>
                <w:rFonts w:ascii="黑体" w:eastAsia="黑体" w:hAnsi="黑体" w:cs="宋体" w:hint="eastAsia"/>
                <w:color w:val="375DA4"/>
                <w:kern w:val="0"/>
                <w:sz w:val="30"/>
                <w:szCs w:val="30"/>
              </w:rPr>
              <w:t xml:space="preserve">教育部办公厅　财政部办公厅关于做好2014、2015年高等学校本科教学改革与教学质量工程工作的指导意见 </w:t>
            </w:r>
          </w:p>
        </w:tc>
      </w:tr>
    </w:tbl>
    <w:p w:rsidR="00EE4474" w:rsidRDefault="00EE4474" w:rsidP="00EE4474">
      <w:pPr>
        <w:widowControl/>
        <w:jc w:val="right"/>
        <w:rPr>
          <w:rFonts w:ascii="宋体" w:eastAsia="宋体" w:hAnsi="宋体" w:cs="宋体" w:hint="eastAsia"/>
          <w:kern w:val="0"/>
          <w:sz w:val="23"/>
          <w:szCs w:val="23"/>
        </w:rPr>
      </w:pPr>
    </w:p>
    <w:p w:rsidR="00EE4474" w:rsidRPr="00EE4474" w:rsidRDefault="00EE4474" w:rsidP="00EE4474">
      <w:pPr>
        <w:widowControl/>
        <w:jc w:val="right"/>
        <w:rPr>
          <w:rFonts w:ascii="宋体" w:eastAsia="宋体" w:hAnsi="宋体" w:cs="宋体" w:hint="eastAsia"/>
          <w:kern w:val="0"/>
          <w:sz w:val="23"/>
          <w:szCs w:val="23"/>
        </w:rPr>
      </w:pPr>
      <w:proofErr w:type="gramStart"/>
      <w:r w:rsidRPr="00EE4474">
        <w:rPr>
          <w:rFonts w:ascii="宋体" w:eastAsia="宋体" w:hAnsi="宋体" w:cs="宋体" w:hint="eastAsia"/>
          <w:kern w:val="0"/>
          <w:sz w:val="23"/>
          <w:szCs w:val="23"/>
        </w:rPr>
        <w:t>教高厅</w:t>
      </w:r>
      <w:proofErr w:type="gramEnd"/>
      <w:r w:rsidRPr="00EE4474">
        <w:rPr>
          <w:rFonts w:ascii="宋体" w:eastAsia="宋体" w:hAnsi="宋体" w:cs="宋体" w:hint="eastAsia"/>
          <w:kern w:val="0"/>
          <w:sz w:val="23"/>
          <w:szCs w:val="23"/>
        </w:rPr>
        <w:t xml:space="preserve">[2014]2号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E4474" w:rsidRPr="00EE4474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E4474" w:rsidRPr="00EE4474" w:rsidRDefault="00EE4474" w:rsidP="00EE4474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E447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EE4474" w:rsidRPr="00EE4474" w:rsidRDefault="00EE4474" w:rsidP="00EE4474">
      <w:pPr>
        <w:widowControl/>
        <w:jc w:val="center"/>
        <w:rPr>
          <w:rFonts w:ascii="宋体" w:eastAsia="宋体" w:hAnsi="宋体" w:cs="宋体"/>
          <w:vanish/>
          <w:kern w:val="0"/>
          <w:sz w:val="20"/>
          <w:szCs w:val="20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EE4474" w:rsidRPr="00EE4474">
        <w:trPr>
          <w:tblCellSpacing w:w="0" w:type="dxa"/>
          <w:jc w:val="center"/>
        </w:trPr>
        <w:tc>
          <w:tcPr>
            <w:tcW w:w="0" w:type="auto"/>
            <w:hideMark/>
          </w:tcPr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新疆生产建设兵团教育局、财务局，有关部门（单位）教育司（局）、财务司（局），教育部直属各高等学校：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根据《教育部 财政部关于“十二五”期间实施“高等学校本科教学质量与教学改革工程”的意见》（</w:t>
            </w:r>
            <w:proofErr w:type="gramStart"/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教高〔2011〕</w:t>
            </w:r>
            <w:proofErr w:type="gramEnd"/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号），自2011年起，启动实施了本科教学工程，对于推进本科教学改革起到了很好的示范推动作用。但是，在工程实施过程中各高校工作进展不平衡，部分高校存在重立项轻建设、资金执行相对较慢等问题。为进一步做好本科教学工程各项工作，确保取得预期成效，现就2014、2015年本科教学工程实施工作提出如下意见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一、指导思想。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深入贯彻党的十八大和十八届三中全会精神，落实教育规划纲要要求，进一步转变部门管理职能，创新管理方式，将部门管理由事前评审变为事中、事后评估与监管，充分发挥高校在本科教学工程项目管理和实施中的主体作用，推动高校本科教育教学综合改革，持续提高人才培养质量。 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二、转变项目管理方式。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、财政部共同确定本科教学工程重大方针政策和总体规划，组织对项目的检查、验收和评价，推广项目建设成果。中央有关部门（单位）负责指导、检查、监督本部门本科教学工程项目建设进展情况，及时协调、解决项目建设过程中的问题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三、转变项目立项方式。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转变评审立项的方式，由项目承担高校根据6号文件有关精神，结合本校本科教学改革实际，在6号文件框架内确定建设项目。其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中，本科专业类教学质量国家标准研制、国家级教师教学发展示范中心、国家级实验教学示范中心、西部受援高校教师和管理干部进修锻炼项目应按照国家规划安排；其余项目由高校自主安排。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各高校应对本校拟立项的本科教学改革项目整体设计、统一规划、逐个论证后形成本校本科教学工程建设方案，报教育部备案。2014年、2015年项目请分别于2014年5月底前、9月底前报教育部。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四、转变资金管理方式。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学校报送的建设方案，综合各校本科教学工程实施情况和学校教学改革成效，测算确定当年的分高校经费额度。改变以往经费分配具体到项目的做法，经费以打包整合的方式下达，首先用于国家规划项目，其余经费由学校自主安排用于其它本科教学工程项目。其中，2014年下达给各高校的经费额度中，不包括精品视频公开课和精品资源共享课建设经费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五、明确资金使用范围。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教学工程专项资金支出范围包括：设备费、材料费、办公用品费、测试化验加工费、差旅费、会议费、国际合作与交流费、出版/文献/信息传播/知识产权事务费、劳务费、专家咨询费等与本科教学改革相关的费用。不得开支有工资性收入的人员工资、奖金、津补贴和福利支出，不得用于土建，不得购置大型仪器设备，不得提取项目管理费，不得偿还学校债务，不得支付罚款、捐赠、赞助、投资等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项目承担高校应严格执行国家有关开支范围和标准的规定，自觉接受财政、教育、审计、监察等部门的监督检查，并及时纠正存在的问题。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EE44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六、做好工程工作总结。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项目承担高校应加大推进改革的力度，明确深化改革的思路，加强对本校本科教学工程所有项目的统筹管理，把项目作为深化本科教学综合改革的“助推剂”，注重改革实效，不断积累改革经验，推广改革成果，</w:t>
            </w: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切实提高本科人才培养水平。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各高校于2015年底前提交本校“十二五”期间本科教学工程实施情况。教育部、财政部将对“十二五”期间本科教学工程项目进行整体评价和总结。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各高校应根据本意</w:t>
            </w:r>
            <w:proofErr w:type="gramStart"/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见要求</w:t>
            </w:r>
            <w:proofErr w:type="gramEnd"/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制定适合本校特点的实施细则。本意</w:t>
            </w:r>
            <w:proofErr w:type="gramStart"/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见执行</w:t>
            </w:r>
            <w:proofErr w:type="gramEnd"/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中如遇问题，请及时反馈教育部、财政部。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教育部办公厅　财政部办公厅</w:t>
            </w:r>
          </w:p>
          <w:p w:rsidR="00EE4474" w:rsidRPr="00EE4474" w:rsidRDefault="00EE4474" w:rsidP="00EE4474">
            <w:pPr>
              <w:widowControl/>
              <w:spacing w:before="100" w:beforeAutospacing="1" w:after="419" w:line="536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E44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2014年5月7日</w:t>
            </w:r>
          </w:p>
        </w:tc>
      </w:tr>
    </w:tbl>
    <w:p w:rsidR="006F6A0D" w:rsidRDefault="00EE4474"/>
    <w:sectPr w:rsidR="006F6A0D" w:rsidSect="001C5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4474"/>
    <w:rsid w:val="001C5E6B"/>
    <w:rsid w:val="003D11F2"/>
    <w:rsid w:val="00BD732F"/>
    <w:rsid w:val="00E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4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2014-11-06T07:24:00Z</dcterms:created>
  <dcterms:modified xsi:type="dcterms:W3CDTF">2014-11-06T07:25:00Z</dcterms:modified>
</cp:coreProperties>
</file>